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83" w:rsidRDefault="00E67183" w:rsidP="00E67183">
      <w:pPr>
        <w:tabs>
          <w:tab w:val="left" w:pos="4500"/>
        </w:tabs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B92435" wp14:editId="59AEAD0A">
            <wp:simplePos x="0" y="0"/>
            <wp:positionH relativeFrom="column">
              <wp:posOffset>3357880</wp:posOffset>
            </wp:positionH>
            <wp:positionV relativeFrom="paragraph">
              <wp:posOffset>-137160</wp:posOffset>
            </wp:positionV>
            <wp:extent cx="4477385" cy="5848985"/>
            <wp:effectExtent l="438150" t="0" r="399415" b="3613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88" t="12267" r="32543" b="9262"/>
                    <a:stretch/>
                  </pic:blipFill>
                  <pic:spPr bwMode="auto">
                    <a:xfrm>
                      <a:off x="0" y="0"/>
                      <a:ext cx="4477385" cy="58489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183" w:rsidRDefault="00E67183" w:rsidP="00E67183">
      <w:pPr>
        <w:tabs>
          <w:tab w:val="left" w:pos="4500"/>
        </w:tabs>
        <w:jc w:val="center"/>
        <w:rPr>
          <w:rFonts w:ascii="Arial Rounded MT Bold" w:hAnsi="Arial Rounded MT Bold"/>
          <w:sz w:val="28"/>
          <w:szCs w:val="28"/>
        </w:rPr>
      </w:pPr>
    </w:p>
    <w:p w:rsidR="00E67183" w:rsidRDefault="00E67183" w:rsidP="00E67183">
      <w:pPr>
        <w:tabs>
          <w:tab w:val="left" w:pos="4500"/>
        </w:tabs>
        <w:jc w:val="center"/>
        <w:rPr>
          <w:rFonts w:ascii="Arial Rounded MT Bold" w:hAnsi="Arial Rounded MT Bold"/>
          <w:sz w:val="28"/>
          <w:szCs w:val="28"/>
        </w:rPr>
      </w:pPr>
    </w:p>
    <w:p w:rsidR="003B1928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b/>
          <w:color w:val="5D9732"/>
          <w:sz w:val="32"/>
          <w:szCs w:val="32"/>
        </w:rPr>
      </w:pPr>
      <w:r w:rsidRPr="0075158B">
        <w:rPr>
          <w:rFonts w:ascii="Cambria" w:hAnsi="Cambria"/>
          <w:b/>
          <w:color w:val="5D9732"/>
          <w:sz w:val="32"/>
          <w:szCs w:val="32"/>
        </w:rPr>
        <w:t>Sustainable Energy Plan</w:t>
      </w: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b/>
          <w:color w:val="5D9732"/>
          <w:sz w:val="32"/>
          <w:szCs w:val="32"/>
        </w:rPr>
      </w:pPr>
      <w:r w:rsidRPr="0075158B">
        <w:rPr>
          <w:rFonts w:ascii="Cambria" w:hAnsi="Cambria"/>
          <w:b/>
          <w:color w:val="5D9732"/>
          <w:sz w:val="32"/>
          <w:szCs w:val="32"/>
        </w:rPr>
        <w:t>For the Midlands Region</w:t>
      </w: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sz w:val="32"/>
          <w:szCs w:val="32"/>
        </w:rPr>
      </w:pP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</w:pPr>
      <w:r w:rsidRPr="0075158B"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  <w:t>Richland County Update 2015</w:t>
      </w: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</w:pPr>
      <w:r w:rsidRPr="0075158B"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  <w:t>Executive Summary</w:t>
      </w: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</w:pP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</w:pPr>
      <w:r w:rsidRPr="0075158B">
        <w:rPr>
          <w:rFonts w:ascii="Cambria" w:hAnsi="Cambria"/>
          <w:color w:val="717074"/>
          <w:sz w:val="32"/>
          <w:szCs w:val="32"/>
          <w14:textFill>
            <w14:solidFill>
              <w14:srgbClr w14:val="717074">
                <w14:lumMod w14:val="50000"/>
              </w14:srgbClr>
            </w14:solidFill>
          </w14:textFill>
        </w:rPr>
        <w:t>Anna Lange</w:t>
      </w:r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sz w:val="32"/>
          <w:szCs w:val="32"/>
        </w:rPr>
      </w:pPr>
      <w:hyperlink r:id="rId6" w:history="1">
        <w:r w:rsidRPr="0075158B">
          <w:rPr>
            <w:rStyle w:val="Hyperlink"/>
            <w:rFonts w:ascii="Cambria" w:hAnsi="Cambria"/>
            <w:sz w:val="32"/>
            <w:szCs w:val="32"/>
          </w:rPr>
          <w:t>Langea@rcgov.us</w:t>
        </w:r>
      </w:hyperlink>
    </w:p>
    <w:p w:rsidR="00E67183" w:rsidRPr="0075158B" w:rsidRDefault="00E67183" w:rsidP="00E67183">
      <w:pPr>
        <w:tabs>
          <w:tab w:val="left" w:pos="4500"/>
        </w:tabs>
        <w:jc w:val="center"/>
        <w:rPr>
          <w:rFonts w:ascii="Cambria" w:hAnsi="Cambria"/>
          <w:color w:val="717074"/>
          <w:sz w:val="32"/>
          <w:szCs w:val="32"/>
        </w:rPr>
      </w:pPr>
      <w:r w:rsidRPr="0075158B">
        <w:rPr>
          <w:rFonts w:ascii="Cambria" w:hAnsi="Cambria"/>
          <w:color w:val="717074"/>
          <w:sz w:val="32"/>
          <w:szCs w:val="32"/>
        </w:rPr>
        <w:t>803-576-1364</w:t>
      </w:r>
    </w:p>
    <w:tbl>
      <w:tblPr>
        <w:tblW w:w="12615" w:type="dxa"/>
        <w:tblInd w:w="93" w:type="dxa"/>
        <w:tblLook w:val="04A0" w:firstRow="1" w:lastRow="0" w:firstColumn="1" w:lastColumn="0" w:noHBand="0" w:noVBand="1"/>
      </w:tblPr>
      <w:tblGrid>
        <w:gridCol w:w="5865"/>
        <w:gridCol w:w="4500"/>
        <w:gridCol w:w="2250"/>
      </w:tblGrid>
      <w:tr w:rsidR="00B152ED" w:rsidRPr="00B152ED" w:rsidTr="00B152ED">
        <w:trPr>
          <w:trHeight w:val="300"/>
        </w:trPr>
        <w:tc>
          <w:tcPr>
            <w:tcW w:w="5865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 xml:space="preserve">Goal   </w:t>
            </w:r>
          </w:p>
        </w:tc>
        <w:tc>
          <w:tcPr>
            <w:tcW w:w="45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Measurable</w:t>
            </w:r>
          </w:p>
        </w:tc>
        <w:tc>
          <w:tcPr>
            <w:tcW w:w="225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Status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Clean Energy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Launch Alternative Energy Education Initiatives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Annual report on the status of the Energy Efficiency Education Initiative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Energy office released solar report 2015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Consider Local Incentive Programs (7+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Incentives for Alternative Energy Practices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Achieved solar 2015 IOU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Energy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Implement Internal City/County Sustainability Policies Supported by Green Teams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Decrease Usage by 10% relative to a 2009 baseline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2014  9.66%</w:t>
            </w:r>
            <w:r w:rsidR="00B30C77">
              <w:rPr>
                <w:rFonts w:ascii="Times New Roman" w:eastAsia="Times New Roman" w:hAnsi="Times New Roman" w:cs="Times New Roman"/>
                <w:color w:val="000000"/>
              </w:rPr>
              <w:t xml:space="preserve"> decrease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Launch an energy efficiency education initiative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Annual report on the status of the Energy Efficiency Education Initiative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2014 Mandated Annual Building report to council</w:t>
            </w:r>
          </w:p>
        </w:tc>
      </w:tr>
      <w:tr w:rsidR="00B152ED" w:rsidRPr="00B152ED" w:rsidTr="00B152ED">
        <w:trPr>
          <w:trHeight w:val="5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Adopt a Green Building Resolution for current and future Municipal/County Buildings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The adopted resolution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Adopted 2014</w:t>
            </w:r>
          </w:p>
        </w:tc>
      </w:tr>
      <w:tr w:rsidR="00B152ED" w:rsidRPr="00B152ED" w:rsidTr="00B152ED">
        <w:trPr>
          <w:trHeight w:val="57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Implement Incentives for Green Building Practices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Incentives for Green Building Practices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5A6E13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Adopted 2014</w:t>
            </w:r>
            <w:bookmarkStart w:id="0" w:name="_GoBack"/>
            <w:bookmarkEnd w:id="0"/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Assess Options for Local Incentive or Loan Programs (7+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Develop a report regarding options for Local Incentives or Loan Programs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Report Generated Council retreat 2015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Support Reforms to State Energy Policy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Meet annually with the State Energy Office regarding the State's Energy Policy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Green Jobs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Green Economy Business Climate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 report of the results of the survey with action items to address its findings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9A5F2A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Active through SCC</w:t>
            </w:r>
            <w:r w:rsidR="00B152ED" w:rsidRPr="00B152ED">
              <w:rPr>
                <w:rFonts w:ascii="Times New Roman" w:eastAsia="Times New Roman" w:hAnsi="Times New Roman" w:cs="Times New Roman"/>
                <w:color w:val="000000"/>
              </w:rPr>
              <w:t>EBA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Planning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855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Encourage Low Impact Development and/or Smart Growth with Emphasis on Public Properties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Approve 5 projects with Low Impact development and/or Smart Growth principles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There have been projects approved using cluster housing and density bonuses to preserve open space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Guide Denser Development Towards Clustering Along Growth Corridors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Amend the Comprehensive Plan to encourage denser development along the growth corridors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Amended as of 2014 Comprehensive Plan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Adopt Favorable Zoning and Permitting Requirements for Alternative Energy Development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Encourage the development of at least one alternative energy development per year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 2014- 2015 - solar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Goal 2 - Decreasing Demand Through Broader Initiatives ( Section 3.0 Pages 58-97)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local plans in accordance with COATS and COG regional plans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Transportation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Encourage Alternatives to Single-Passenger Vehicles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the participation of carpool and transit ridership by 10% each decade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Green Economy Business Climate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Maintain “Attainment” status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</w:t>
            </w:r>
          </w:p>
        </w:tc>
      </w:tr>
      <w:tr w:rsidR="00B152ED" w:rsidRPr="00B152ED" w:rsidTr="00B152ED">
        <w:trPr>
          <w:trHeight w:val="3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Waste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Improve Recycling Rate by Local Governments, Businesses and Residents (0-12 Months)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Improve recycling rates by 10% annual above 2011 baseline rate.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Achieved 21.5% increase statewide, 78.6% increase Richland county 2011-2014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Phase-in Improvements to Municipal Solid Waste Disposal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solid waste collection by 5% above 2011 baseline collection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Incineration Policy in Place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Phase-in Improvements to Municipal Solid Waste Disposal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solid waste collection by 5% above 2011 baseline collection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Ongoing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Phase-in Improvements to Municipal Solid Waste Disposal (1-6 Years)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solid waste collection by 5% above 2011 baseline collection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Achieved 2012-2015</w:t>
            </w:r>
          </w:p>
        </w:tc>
      </w:tr>
      <w:tr w:rsidR="00B152ED" w:rsidRPr="00B152ED" w:rsidTr="00B152ED">
        <w:trPr>
          <w:trHeight w:val="600"/>
        </w:trPr>
        <w:tc>
          <w:tcPr>
            <w:tcW w:w="58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 Direct Green Economy Jobs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Annually report on the status of the survey results</w:t>
            </w: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Handled at state level</w:t>
            </w:r>
          </w:p>
        </w:tc>
      </w:tr>
    </w:tbl>
    <w:p w:rsidR="00B152ED" w:rsidRDefault="00B152ED" w:rsidP="00B152ED"/>
    <w:p w:rsidR="00B152ED" w:rsidRDefault="00B152ED" w:rsidP="00B152ED"/>
    <w:p w:rsidR="00214FEA" w:rsidRDefault="00214FEA" w:rsidP="00B152ED"/>
    <w:p w:rsidR="00C2710F" w:rsidRDefault="00C2710F" w:rsidP="00B152ED"/>
    <w:p w:rsidR="00C2710F" w:rsidRDefault="00C2710F" w:rsidP="00B152ED"/>
    <w:p w:rsidR="00214FEA" w:rsidRDefault="00214FEA" w:rsidP="00B152ED"/>
    <w:tbl>
      <w:tblPr>
        <w:tblW w:w="12640" w:type="dxa"/>
        <w:tblInd w:w="93" w:type="dxa"/>
        <w:tblLook w:val="04A0" w:firstRow="1" w:lastRow="0" w:firstColumn="1" w:lastColumn="0" w:noHBand="0" w:noVBand="1"/>
      </w:tblPr>
      <w:tblGrid>
        <w:gridCol w:w="5880"/>
        <w:gridCol w:w="4460"/>
        <w:gridCol w:w="2300"/>
      </w:tblGrid>
      <w:tr w:rsidR="00B152ED" w:rsidRPr="00B152ED" w:rsidTr="00B152ED">
        <w:trPr>
          <w:trHeight w:val="300"/>
        </w:trPr>
        <w:tc>
          <w:tcPr>
            <w:tcW w:w="588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 xml:space="preserve">Goal   </w:t>
            </w:r>
          </w:p>
        </w:tc>
        <w:tc>
          <w:tcPr>
            <w:tcW w:w="446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Measurable</w:t>
            </w:r>
          </w:p>
        </w:tc>
        <w:tc>
          <w:tcPr>
            <w:tcW w:w="2300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Status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Clean Energy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Establish an Alternative Energy Task Force (0-12 Months)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 Alternative Energy Task Force the meets on at least a quarterly basis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57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Identify Opportunities for GHP and Industrial CHP (0-12 Months)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Identify 3 potential sites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Consider Local Incentive Programs (7+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Incentives for Alternative Energy Practices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Energy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Implement Internal City/County Sustainability Policies Supported by Green Teams (0-12 Months)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 report documenting the assessment of the current Energy Building Codes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Handled at state level</w:t>
            </w:r>
          </w:p>
        </w:tc>
      </w:tr>
      <w:tr w:rsidR="00B152ED" w:rsidRPr="00B152ED" w:rsidTr="00B152ED">
        <w:trPr>
          <w:trHeight w:val="57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Launch an energy efficiency education initiative (0-12 Months)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Completed Energy Audit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Not complete</w:t>
            </w:r>
          </w:p>
        </w:tc>
      </w:tr>
      <w:tr w:rsidR="00B152ED" w:rsidRPr="00B152ED" w:rsidTr="00B152ED">
        <w:trPr>
          <w:trHeight w:val="57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Implement Incentives for Green Building Practices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Incentives for Green Building Practices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Support Reforms to State Energy Policy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Meet annually with the Legislative Delegation regarding State Energy Policy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9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Enact a More Efficient Local Building Energy Code (7+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Decrease total energy usage of non-governmental entities by 1% relative to a 2009 baseline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Explore Public Alternative Energy Project Options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Decrease total energy usage by 10% relative to a baseline of the usage in 2009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Indirect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Approve one LEED standard project per year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Indirect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Adopt Incentives for Green Building Practices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Green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Green Economy Business Climate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 report of the results of the survey with action items to address its findings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A. Green Economy Business Climate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Identify at least three items to be purchase cooperatively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 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Implementation of one demonstration project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B. 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Meet annually with the coordinating committee to determine status of the Fort's needs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 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Annually report on the status for the marketing study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 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Meet annually with the coordinating committee to determine status of the industry's needs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9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Indirect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Annually report on the placement rate of graduates on the program and make changes to the curriculum as warranted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Purchasing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6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Form a Regional Procurement Process that Utilizes a “Green” Criteria for Goods and Services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Identify at least three items to be purchased cooperatively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6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Transportation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57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Pilot a New Program Economizing Commute of Government Employees (0-12 Months)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Achieve a 5% participation rate in the program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3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Waste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BFBFBF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Phase-in Improvements to Municipal Solid Waste Disposal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solid waste collection by 5% above 2011 baseline collection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Phase-in Improvements to Municipal Solid Waste Disposal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Increase solid waste collection by 5% above 2011 baseline collection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Inactive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Convert Majority of Waste Stream into Economic Inputs to Production (7+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Redirect 5% annually of 2011 baseline solid waste collection to an alternate form of disposal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705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Expand Landfill Gas to Energy Project (7+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Development of One Landfill Gas to Energy Project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Indirect Green Economy Jobs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Implement the pilot program and monitor its outcome.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  <w:tr w:rsidR="00B152ED" w:rsidRPr="00B152ED" w:rsidTr="00B152ED">
        <w:trPr>
          <w:trHeight w:val="600"/>
        </w:trPr>
        <w:tc>
          <w:tcPr>
            <w:tcW w:w="5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center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Increase Efficiency of Drinking/Waste Water Systems (1-6 Years)</w:t>
            </w:r>
          </w:p>
        </w:tc>
        <w:tc>
          <w:tcPr>
            <w:tcW w:w="4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Decrease total energy usage by 10% relative to a baseline of the usage in 2011</w:t>
            </w:r>
          </w:p>
        </w:tc>
        <w:tc>
          <w:tcPr>
            <w:tcW w:w="2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B152ED" w:rsidRPr="00B152ED" w:rsidRDefault="00B152ED" w:rsidP="00B1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152ED">
              <w:rPr>
                <w:rFonts w:ascii="Times New Roman" w:eastAsia="Times New Roman" w:hAnsi="Times New Roman" w:cs="Times New Roman"/>
                <w:color w:val="000000"/>
              </w:rPr>
              <w:t>NA</w:t>
            </w:r>
          </w:p>
        </w:tc>
      </w:tr>
    </w:tbl>
    <w:p w:rsidR="00B152ED" w:rsidRPr="00B152ED" w:rsidRDefault="00B152ED" w:rsidP="00B152ED"/>
    <w:sectPr w:rsidR="00B152ED" w:rsidRPr="00B152ED" w:rsidSect="00E67183">
      <w:pgSz w:w="15840" w:h="12240" w:orient="landscape"/>
      <w:pgMar w:top="1440" w:right="9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BF"/>
    <w:rsid w:val="00045FEB"/>
    <w:rsid w:val="00167D35"/>
    <w:rsid w:val="001E0710"/>
    <w:rsid w:val="002114F6"/>
    <w:rsid w:val="00214FEA"/>
    <w:rsid w:val="003B1928"/>
    <w:rsid w:val="0041159D"/>
    <w:rsid w:val="005925CC"/>
    <w:rsid w:val="005A6E13"/>
    <w:rsid w:val="005E6B52"/>
    <w:rsid w:val="006564BF"/>
    <w:rsid w:val="0075158B"/>
    <w:rsid w:val="007D5432"/>
    <w:rsid w:val="008B4123"/>
    <w:rsid w:val="00995BF6"/>
    <w:rsid w:val="009A5F2A"/>
    <w:rsid w:val="00B152ED"/>
    <w:rsid w:val="00B30C77"/>
    <w:rsid w:val="00B400AB"/>
    <w:rsid w:val="00C2710F"/>
    <w:rsid w:val="00E67183"/>
    <w:rsid w:val="00F8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B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1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ngea@rcgov.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Lange</dc:creator>
  <cp:lastModifiedBy>Anna Lange</cp:lastModifiedBy>
  <cp:revision>9</cp:revision>
  <cp:lastPrinted>2015-06-09T15:28:00Z</cp:lastPrinted>
  <dcterms:created xsi:type="dcterms:W3CDTF">2015-06-08T17:16:00Z</dcterms:created>
  <dcterms:modified xsi:type="dcterms:W3CDTF">2015-06-09T20:42:00Z</dcterms:modified>
</cp:coreProperties>
</file>